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le360w70z0hp"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4">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i9l59foptk9"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royelnzgr6n6"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direct award works</w:t>
      </w:r>
    </w:p>
    <w:p w:rsidR="00000000" w:rsidDel="00000000" w:rsidP="00000000" w:rsidRDefault="00000000" w:rsidRPr="00000000" w14:paraId="0000000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054"/>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develop a Statement of Requirements setting out its requirements for the Deliverables and use the filtering tool to identify the Suppliers capable of supplying the Service Lines relevant to the Statement of Requirements;</w:t>
      </w:r>
      <w:r w:rsidDel="00000000" w:rsidR="00000000" w:rsidRPr="00000000">
        <w:rPr>
          <w:rtl w:val="0"/>
        </w:rPr>
      </w:r>
    </w:p>
    <w:p w:rsidR="00000000" w:rsidDel="00000000" w:rsidP="00000000" w:rsidRDefault="00000000" w:rsidRPr="00000000" w14:paraId="00000010">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054"/>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apply the direct award criteria to the Suppliers’ description of the Deliverables as set out in Framework Schedule 1 (Specification) to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054"/>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2">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13">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4">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5">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1157lgt7tzoj" w:id="3"/>
      <w:bookmarkEnd w:id="3"/>
      <w:r w:rsidDel="00000000" w:rsidR="00000000" w:rsidRPr="00000000">
        <w:rPr>
          <w:rFonts w:ascii="Arial" w:cs="Arial" w:eastAsia="Arial" w:hAnsi="Arial"/>
          <w:sz w:val="24"/>
          <w:szCs w:val="24"/>
          <w:rtl w:val="0"/>
        </w:rPr>
        <w:t xml:space="preserve">develop a Statement of Requirements setting out its requirements for the Deliverables and use the filtering tool to identify the Suppliers capable of supplying the Service Lines relevant to the Statement of Requirements;</w:t>
      </w:r>
      <w:r w:rsidDel="00000000" w:rsidR="00000000" w:rsidRPr="00000000">
        <w:rPr>
          <w:rtl w:val="0"/>
        </w:rPr>
      </w:r>
    </w:p>
    <w:p w:rsidR="00000000" w:rsidDel="00000000" w:rsidP="00000000" w:rsidRDefault="00000000" w:rsidRPr="00000000" w14:paraId="0000001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7vtprhu4shys"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7">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u9kc0sckxdwo"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9">
      <w:pPr>
        <w:keepNext w:val="1"/>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A">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B">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C">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D">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E">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1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3">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4">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p>
    <w:p w:rsidR="00000000" w:rsidDel="00000000" w:rsidP="00000000" w:rsidRDefault="00000000" w:rsidRPr="00000000" w14:paraId="0000002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7">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A">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B">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C">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D">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E">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2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1">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2">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3">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4">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5">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36">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8">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9">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A">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5z40a16m8hm2"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B">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C">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uqmlora5zxna"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D">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E">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3F">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0">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xjzuxx2klz15"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1">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3">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4">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5">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6">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60f2wcj0ldpm"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7">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A">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wv8qen9k1ens"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B">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C">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D">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4E">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4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0">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3">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4">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5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6">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7">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8">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9">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B">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C">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D">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s6rqirc7grcz"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E">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1">
      <w:pPr>
        <w:pageBreakBefore w:val="0"/>
        <w:widowControl w:val="1"/>
        <w:numPr>
          <w:ilvl w:val="0"/>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2">
      <w:pPr>
        <w:pageBreakBefore w:val="0"/>
        <w:widowControl w:val="1"/>
        <w:numPr>
          <w:ilvl w:val="0"/>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3">
      <w:pPr>
        <w:pageBreakBefore w:val="0"/>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keepNext w:val="1"/>
        <w:pageBreakBefore w:val="0"/>
        <w:widowControl w:val="1"/>
        <w:pBdr>
          <w:top w:space="0" w:sz="0" w:val="nil"/>
          <w:left w:space="0" w:sz="0" w:val="nil"/>
          <w:bottom w:space="0" w:sz="0" w:val="nil"/>
          <w:right w:space="0" w:sz="0" w:val="nil"/>
          <w:between w:space="0" w:sz="0" w:val="nil"/>
        </w:pBdr>
        <w:spacing w:after="240" w:before="240" w:lineRule="auto"/>
        <w:ind w:firstLine="42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65">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p w:rsidR="00000000" w:rsidDel="00000000" w:rsidP="00000000" w:rsidRDefault="00000000" w:rsidRPr="00000000" w14:paraId="00000066">
      <w:pPr>
        <w:widowControl w:val="1"/>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percentage weightings for price, quality and social value (if applicable) should total 100%]</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
        <w:gridCol w:w="6540"/>
        <w:tblGridChange w:id="0">
          <w:tblGrid>
            <w:gridCol w:w="2325"/>
            <w:gridCol w:w="6540"/>
          </w:tblGrid>
        </w:tblGridChange>
      </w:tblGrid>
      <w:tr>
        <w:trPr>
          <w:cantSplit w:val="0"/>
          <w:trHeight w:val="615" w:hRule="atLeast"/>
          <w:tblHeader w:val="1"/>
        </w:trPr>
        <w:tc>
          <w:tcPr>
            <w:tcBorders>
              <w:top w:color="000000" w:space="0" w:sz="6" w:val="single"/>
              <w:left w:color="000000" w:space="0" w:sz="6" w:val="single"/>
              <w:bottom w:color="000000" w:space="0" w:sz="6" w:val="single"/>
              <w:right w:color="000000" w:space="0" w:sz="6" w:val="single"/>
            </w:tcBorders>
            <w:shd w:fill="e7e6e6" w:val="clear"/>
            <w:tcMar>
              <w:top w:w="0.0" w:type="dxa"/>
              <w:left w:w="120.0" w:type="dxa"/>
              <w:bottom w:w="0.0" w:type="dxa"/>
              <w:right w:w="120.0" w:type="dxa"/>
            </w:tcMar>
          </w:tcPr>
          <w:p w:rsidR="00000000" w:rsidDel="00000000" w:rsidP="00000000" w:rsidRDefault="00000000" w:rsidRPr="00000000" w14:paraId="00000067">
            <w:pPr>
              <w:widowControl w:val="1"/>
              <w:tabs>
                <w:tab w:val="left" w:leader="none" w:pos="851"/>
              </w:tabs>
              <w:spacing w:after="120" w:before="120" w:lineRule="auto"/>
              <w:ind w:left="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6" w:val="single"/>
              <w:left w:color="000000" w:space="0" w:sz="0" w:val="nil"/>
              <w:bottom w:color="000000" w:space="0" w:sz="6" w:val="single"/>
              <w:right w:color="000000" w:space="0" w:sz="6" w:val="single"/>
            </w:tcBorders>
            <w:shd w:fill="e7e6e6" w:val="clear"/>
            <w:tcMar>
              <w:top w:w="0.0" w:type="dxa"/>
              <w:left w:w="120.0" w:type="dxa"/>
              <w:bottom w:w="0.0" w:type="dxa"/>
              <w:right w:w="120.0" w:type="dxa"/>
            </w:tcMar>
          </w:tcPr>
          <w:p w:rsidR="00000000" w:rsidDel="00000000" w:rsidP="00000000" w:rsidRDefault="00000000" w:rsidRPr="00000000" w14:paraId="00000068">
            <w:pPr>
              <w:widowControl w:val="1"/>
              <w:tabs>
                <w:tab w:val="left" w:leader="none" w:pos="851"/>
              </w:tabs>
              <w:spacing w:after="200" w:before="120" w:line="276" w:lineRule="auto"/>
              <w:ind w:left="-120" w:firstLine="0"/>
              <w:jc w:val="both"/>
              <w:rPr>
                <w:rFonts w:ascii="Arial" w:cs="Arial" w:eastAsia="Arial" w:hAnsi="Arial"/>
                <w:sz w:val="24"/>
                <w:szCs w:val="24"/>
                <w:highlight w:val="red"/>
              </w:rPr>
            </w:pPr>
            <w:r w:rsidDel="00000000" w:rsidR="00000000" w:rsidRPr="00000000">
              <w:rPr>
                <w:rFonts w:ascii="Arial" w:cs="Arial" w:eastAsia="Arial" w:hAnsi="Arial"/>
                <w:b w:val="1"/>
                <w:sz w:val="24"/>
                <w:szCs w:val="24"/>
                <w:rtl w:val="0"/>
              </w:rPr>
              <w:t xml:space="preserve">  Relative weighting percentage (0% to 100%)</w:t>
            </w:r>
            <w:r w:rsidDel="00000000" w:rsidR="00000000" w:rsidRPr="00000000">
              <w:rPr>
                <w:rtl w:val="0"/>
              </w:rPr>
            </w:r>
          </w:p>
        </w:tc>
      </w:tr>
      <w:tr>
        <w:trPr>
          <w:cantSplit w:val="0"/>
          <w:trHeight w:val="169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69">
            <w:pPr>
              <w:widowControl w:val="1"/>
              <w:tabs>
                <w:tab w:val="left" w:leader="none" w:pos="851"/>
              </w:tabs>
              <w:spacing w:after="280" w:before="120" w:line="249.60000000000002"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Buyer believes that the Supplier provides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the most economically advantageous tender, which may include but is not limited to:</w:t>
            </w:r>
          </w:p>
          <w:p w:rsidR="00000000" w:rsidDel="00000000" w:rsidP="00000000" w:rsidRDefault="00000000" w:rsidRPr="00000000" w14:paraId="0000006A">
            <w:pPr>
              <w:widowControl w:val="1"/>
              <w:numPr>
                <w:ilvl w:val="0"/>
                <w:numId w:val="2"/>
              </w:numPr>
              <w:tabs>
                <w:tab w:val="left" w:leader="none" w:pos="851"/>
              </w:tabs>
              <w:spacing w:after="0" w:before="120" w:line="249.60000000000002"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cost effectiveness </w:t>
            </w:r>
          </w:p>
          <w:p w:rsidR="00000000" w:rsidDel="00000000" w:rsidP="00000000" w:rsidRDefault="00000000" w:rsidRPr="00000000" w14:paraId="0000006B">
            <w:pPr>
              <w:widowControl w:val="1"/>
              <w:numPr>
                <w:ilvl w:val="0"/>
                <w:numId w:val="2"/>
              </w:numPr>
              <w:tabs>
                <w:tab w:val="left" w:leader="none" w:pos="851"/>
              </w:tabs>
              <w:spacing w:after="0" w:before="0" w:line="249.60000000000002"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 </w:t>
            </w:r>
          </w:p>
          <w:p w:rsidR="00000000" w:rsidDel="00000000" w:rsidP="00000000" w:rsidRDefault="00000000" w:rsidRPr="00000000" w14:paraId="0000006C">
            <w:pPr>
              <w:widowControl w:val="1"/>
              <w:numPr>
                <w:ilvl w:val="0"/>
                <w:numId w:val="2"/>
              </w:numPr>
              <w:tabs>
                <w:tab w:val="left" w:leader="none" w:pos="851"/>
              </w:tabs>
              <w:spacing w:after="0" w:before="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quality</w:t>
            </w:r>
          </w:p>
          <w:p w:rsidR="00000000" w:rsidDel="00000000" w:rsidP="00000000" w:rsidRDefault="00000000" w:rsidRPr="00000000" w14:paraId="0000006D">
            <w:pPr>
              <w:widowControl w:val="1"/>
              <w:numPr>
                <w:ilvl w:val="0"/>
                <w:numId w:val="2"/>
              </w:numPr>
              <w:tabs>
                <w:tab w:val="left" w:leader="none" w:pos="851"/>
              </w:tabs>
              <w:spacing w:after="0" w:before="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social value </w:t>
            </w:r>
          </w:p>
          <w:p w:rsidR="00000000" w:rsidDel="00000000" w:rsidP="00000000" w:rsidRDefault="00000000" w:rsidRPr="00000000" w14:paraId="0000006E">
            <w:pPr>
              <w:widowControl w:val="1"/>
              <w:numPr>
                <w:ilvl w:val="0"/>
                <w:numId w:val="2"/>
              </w:numPr>
              <w:tabs>
                <w:tab w:val="left" w:leader="none" w:pos="851"/>
              </w:tabs>
              <w:spacing w:after="120" w:before="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value for money </w:t>
            </w:r>
            <w:r w:rsidDel="00000000" w:rsidR="00000000" w:rsidRPr="00000000">
              <w:rPr>
                <w:rFonts w:ascii="Arial" w:cs="Arial" w:eastAsia="Arial" w:hAnsi="Arial"/>
                <w:sz w:val="24"/>
                <w:szCs w:val="24"/>
                <w:highlight w:val="red"/>
                <w:rtl w:val="0"/>
              </w:rPr>
              <w:t xml:space="preserve"> </w:t>
            </w:r>
            <w:r w:rsidDel="00000000" w:rsidR="00000000" w:rsidRPr="00000000">
              <w:rPr>
                <w:rtl w:val="0"/>
              </w:rPr>
            </w:r>
          </w:p>
        </w:tc>
      </w:tr>
    </w:tbl>
    <w:p w:rsidR="00000000" w:rsidDel="00000000" w:rsidP="00000000" w:rsidRDefault="00000000" w:rsidRPr="00000000" w14:paraId="00000070">
      <w:pPr>
        <w:keepNext w:val="1"/>
        <w:widowControl w:val="1"/>
        <w:spacing w:after="240" w:befor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1">
      <w:pPr>
        <w:pageBreakBefore w:val="0"/>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pageBreakBefore w:val="0"/>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B: Further Competition Award Criteria</w:t>
      </w:r>
    </w:p>
    <w:p w:rsidR="00000000" w:rsidDel="00000000" w:rsidP="00000000" w:rsidRDefault="00000000" w:rsidRPr="00000000" w14:paraId="00000073">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74">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1f1f1f"/>
          <w:sz w:val="24"/>
          <w:szCs w:val="24"/>
          <w:highlight w:val="white"/>
        </w:rPr>
      </w:pPr>
      <w:r w:rsidDel="00000000" w:rsidR="00000000" w:rsidRPr="00000000">
        <w:rPr>
          <w:rFonts w:ascii="Arial" w:cs="Arial" w:eastAsia="Arial" w:hAnsi="Arial"/>
          <w:b w:val="1"/>
          <w:color w:val="1f1f1f"/>
          <w:sz w:val="24"/>
          <w:szCs w:val="24"/>
          <w:highlight w:val="white"/>
          <w:rtl w:val="0"/>
        </w:rPr>
        <w:t xml:space="preserve">[</w:t>
      </w:r>
      <w:r w:rsidDel="00000000" w:rsidR="00000000" w:rsidRPr="00000000">
        <w:rPr>
          <w:rFonts w:ascii="Arial" w:cs="Arial" w:eastAsia="Arial" w:hAnsi="Arial"/>
          <w:b w:val="1"/>
          <w:color w:val="1f1f1f"/>
          <w:sz w:val="24"/>
          <w:szCs w:val="24"/>
          <w:highlight w:val="yellow"/>
          <w:rtl w:val="0"/>
        </w:rPr>
        <w:t xml:space="preserve">Buyer Guidance:</w:t>
      </w:r>
      <w:r w:rsidDel="00000000" w:rsidR="00000000" w:rsidRPr="00000000">
        <w:rPr>
          <w:rFonts w:ascii="Arial" w:cs="Arial" w:eastAsia="Arial" w:hAnsi="Arial"/>
          <w:color w:val="1f1f1f"/>
          <w:sz w:val="24"/>
          <w:szCs w:val="24"/>
          <w:highlight w:val="white"/>
          <w:rtl w:val="0"/>
        </w:rPr>
        <w:t xml:space="preserve"> the percentage weightings for price, quality and social value (if applicable) should total 100%. The Buyer shall select the quality sub criteria from the list below which best meets their requirements.</w:t>
      </w:r>
    </w:p>
    <w:p w:rsidR="00000000" w:rsidDel="00000000" w:rsidP="00000000" w:rsidRDefault="00000000" w:rsidRPr="00000000" w14:paraId="00000075">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color w:val="1f1f1f"/>
          <w:sz w:val="24"/>
          <w:szCs w:val="24"/>
          <w:highlight w:val="white"/>
          <w:rtl w:val="0"/>
        </w:rPr>
        <w:t xml:space="preserve">If a Buyer does not use relative percentage weightings then the percentage weightings shall not apply.]</w:t>
      </w:r>
      <w:r w:rsidDel="00000000" w:rsidR="00000000" w:rsidRPr="00000000">
        <w:rPr>
          <w:rtl w:val="0"/>
        </w:rPr>
      </w:r>
    </w:p>
    <w:tbl>
      <w:tblPr>
        <w:tblStyle w:val="Table2"/>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4560"/>
        <w:tblGridChange w:id="0">
          <w:tblGrid>
            <w:gridCol w:w="4305"/>
            <w:gridCol w:w="4560"/>
          </w:tblGrid>
        </w:tblGridChange>
      </w:tblGrid>
      <w:tr>
        <w:trPr>
          <w:cantSplit w:val="0"/>
          <w:trHeight w:val="615" w:hRule="atLeast"/>
          <w:tblHeader w:val="1"/>
        </w:trPr>
        <w:tc>
          <w:tcPr>
            <w:tcBorders>
              <w:top w:color="000000" w:space="0" w:sz="6" w:val="single"/>
              <w:left w:color="000000" w:space="0" w:sz="6" w:val="single"/>
              <w:bottom w:color="000000" w:space="0" w:sz="6" w:val="single"/>
              <w:right w:color="000000" w:space="0" w:sz="6" w:val="single"/>
            </w:tcBorders>
            <w:shd w:fill="e7e6e6" w:val="clear"/>
            <w:tcMar>
              <w:top w:w="0.0" w:type="dxa"/>
              <w:left w:w="120.0" w:type="dxa"/>
              <w:bottom w:w="0.0" w:type="dxa"/>
              <w:right w:w="100.0" w:type="dxa"/>
            </w:tcMar>
          </w:tcPr>
          <w:p w:rsidR="00000000" w:rsidDel="00000000" w:rsidP="00000000" w:rsidRDefault="00000000" w:rsidRPr="00000000" w14:paraId="00000076">
            <w:pPr>
              <w:widowControl w:val="1"/>
              <w:tabs>
                <w:tab w:val="left" w:leader="none" w:pos="851"/>
              </w:tabs>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6" w:val="single"/>
              <w:left w:color="000000" w:space="0" w:sz="0" w:val="nil"/>
              <w:bottom w:color="000000" w:space="0" w:sz="6" w:val="single"/>
              <w:right w:color="000000" w:space="0" w:sz="6" w:val="single"/>
            </w:tcBorders>
            <w:shd w:fill="e7e6e6" w:val="clear"/>
            <w:tcMar>
              <w:top w:w="0.0" w:type="dxa"/>
              <w:left w:w="120.0" w:type="dxa"/>
              <w:bottom w:w="0.0" w:type="dxa"/>
              <w:right w:w="100.0" w:type="dxa"/>
            </w:tcMar>
          </w:tcPr>
          <w:p w:rsidR="00000000" w:rsidDel="00000000" w:rsidP="00000000" w:rsidRDefault="00000000" w:rsidRPr="00000000" w14:paraId="00000077">
            <w:pPr>
              <w:widowControl w:val="1"/>
              <w:tabs>
                <w:tab w:val="left" w:leader="none" w:pos="851"/>
              </w:tabs>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Percentage Weightings </w:t>
            </w:r>
          </w:p>
          <w:p w:rsidR="00000000" w:rsidDel="00000000" w:rsidP="00000000" w:rsidRDefault="00000000" w:rsidRPr="00000000" w14:paraId="00000078">
            <w:pPr>
              <w:widowControl w:val="1"/>
              <w:tabs>
                <w:tab w:val="left" w:leader="none" w:pos="851"/>
              </w:tabs>
              <w:spacing w:after="120" w:before="240" w:lineRule="auto"/>
              <w:ind w:left="20" w:right="224.7637795275591" w:firstLine="0"/>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Buyers can choose a percentage weighting to meet their requirements. </w:t>
            </w:r>
            <w:r w:rsidDel="00000000" w:rsidR="00000000" w:rsidRPr="00000000">
              <w:rPr>
                <w:rtl w:val="0"/>
              </w:rPr>
            </w:r>
          </w:p>
        </w:tc>
      </w:tr>
      <w:tr>
        <w:trPr>
          <w:cantSplit w:val="0"/>
          <w:trHeight w:val="169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79">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A">
            <w:pPr>
              <w:widowControl w:val="1"/>
              <w:numPr>
                <w:ilvl w:val="0"/>
                <w:numId w:val="1"/>
              </w:numPr>
              <w:tabs>
                <w:tab w:val="left" w:leader="none" w:pos="851"/>
              </w:tabs>
              <w:spacing w:before="240" w:lineRule="auto"/>
              <w:ind w:left="72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Sub criteria: </w:t>
            </w:r>
            <w:r w:rsidDel="00000000" w:rsidR="00000000" w:rsidRPr="00000000">
              <w:rPr>
                <w:rtl w:val="0"/>
              </w:rPr>
            </w:r>
          </w:p>
          <w:p w:rsidR="00000000" w:rsidDel="00000000" w:rsidP="00000000" w:rsidRDefault="00000000" w:rsidRPr="00000000" w14:paraId="0000007B">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[Knowledge transfer]</w:t>
            </w:r>
            <w:r w:rsidDel="00000000" w:rsidR="00000000" w:rsidRPr="00000000">
              <w:rPr>
                <w:rtl w:val="0"/>
              </w:rPr>
            </w:r>
          </w:p>
          <w:p w:rsidR="00000000" w:rsidDel="00000000" w:rsidP="00000000" w:rsidRDefault="00000000" w:rsidRPr="00000000" w14:paraId="0000007C">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[Methodology and approach]</w:t>
            </w:r>
            <w:r w:rsidDel="00000000" w:rsidR="00000000" w:rsidRPr="00000000">
              <w:rPr>
                <w:rtl w:val="0"/>
              </w:rPr>
            </w:r>
          </w:p>
          <w:p w:rsidR="00000000" w:rsidDel="00000000" w:rsidP="00000000" w:rsidRDefault="00000000" w:rsidRPr="00000000" w14:paraId="0000007D">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[Mobilisation] </w:t>
            </w:r>
            <w:r w:rsidDel="00000000" w:rsidR="00000000" w:rsidRPr="00000000">
              <w:rPr>
                <w:rtl w:val="0"/>
              </w:rPr>
            </w:r>
          </w:p>
          <w:p w:rsidR="00000000" w:rsidDel="00000000" w:rsidP="00000000" w:rsidRDefault="00000000" w:rsidRPr="00000000" w14:paraId="0000007E">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[Project management]</w:t>
            </w:r>
            <w:r w:rsidDel="00000000" w:rsidR="00000000" w:rsidRPr="00000000">
              <w:rPr>
                <w:rtl w:val="0"/>
              </w:rPr>
            </w:r>
          </w:p>
          <w:p w:rsidR="00000000" w:rsidDel="00000000" w:rsidP="00000000" w:rsidRDefault="00000000" w:rsidRPr="00000000" w14:paraId="0000007F">
            <w:pPr>
              <w:widowControl w:val="1"/>
              <w:numPr>
                <w:ilvl w:val="1"/>
                <w:numId w:val="1"/>
              </w:numPr>
              <w:shd w:fill="ffffff" w:val="clear"/>
              <w:tabs>
                <w:tab w:val="left" w:leader="none" w:pos="851"/>
              </w:tabs>
              <w:ind w:left="1440" w:hanging="360"/>
              <w:jc w:val="both"/>
              <w:rPr>
                <w:rFonts w:ascii="Arial" w:cs="Arial" w:eastAsia="Arial" w:hAnsi="Arial"/>
                <w:color w:val="222222"/>
                <w:sz w:val="24"/>
                <w:szCs w:val="24"/>
              </w:rPr>
            </w:pPr>
            <w:r w:rsidDel="00000000" w:rsidR="00000000" w:rsidRPr="00000000">
              <w:rPr>
                <w:rFonts w:ascii="Arial" w:cs="Arial" w:eastAsia="Arial" w:hAnsi="Arial"/>
                <w:sz w:val="24"/>
                <w:szCs w:val="24"/>
                <w:highlight w:val="yellow"/>
                <w:rtl w:val="0"/>
              </w:rPr>
              <w:t xml:space="preserve">[Resource allocation]   </w:t>
            </w:r>
            <w:r w:rsidDel="00000000" w:rsidR="00000000" w:rsidRPr="00000000">
              <w:rPr>
                <w:rtl w:val="0"/>
              </w:rPr>
            </w:r>
          </w:p>
          <w:p w:rsidR="00000000" w:rsidDel="00000000" w:rsidP="00000000" w:rsidRDefault="00000000" w:rsidRPr="00000000" w14:paraId="00000080">
            <w:pPr>
              <w:widowControl w:val="1"/>
              <w:numPr>
                <w:ilvl w:val="1"/>
                <w:numId w:val="1"/>
              </w:numPr>
              <w:shd w:fill="ffffff" w:val="clear"/>
              <w:tabs>
                <w:tab w:val="left" w:leader="none" w:pos="851"/>
              </w:tabs>
              <w:ind w:left="1440" w:hanging="360"/>
              <w:jc w:val="both"/>
              <w:rPr>
                <w:rFonts w:ascii="Arial" w:cs="Arial" w:eastAsia="Arial" w:hAnsi="Arial"/>
                <w:color w:val="222222"/>
                <w:sz w:val="24"/>
                <w:szCs w:val="24"/>
              </w:rPr>
            </w:pPr>
            <w:r w:rsidDel="00000000" w:rsidR="00000000" w:rsidRPr="00000000">
              <w:rPr>
                <w:rFonts w:ascii="Arial" w:cs="Arial" w:eastAsia="Arial" w:hAnsi="Arial"/>
                <w:sz w:val="24"/>
                <w:szCs w:val="24"/>
                <w:highlight w:val="yellow"/>
                <w:rtl w:val="0"/>
              </w:rPr>
              <w:t xml:space="preserve">[Risk management] </w:t>
              <w:tab/>
            </w:r>
            <w:r w:rsidDel="00000000" w:rsidR="00000000" w:rsidRPr="00000000">
              <w:rPr>
                <w:rtl w:val="0"/>
              </w:rPr>
            </w:r>
          </w:p>
          <w:p w:rsidR="00000000" w:rsidDel="00000000" w:rsidP="00000000" w:rsidRDefault="00000000" w:rsidRPr="00000000" w14:paraId="00000081">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[Stakeholder management] </w:t>
            </w:r>
            <w:r w:rsidDel="00000000" w:rsidR="00000000" w:rsidRPr="00000000">
              <w:rPr>
                <w:rtl w:val="0"/>
              </w:rPr>
            </w:r>
          </w:p>
          <w:p w:rsidR="00000000" w:rsidDel="00000000" w:rsidP="00000000" w:rsidRDefault="00000000" w:rsidRPr="00000000" w14:paraId="00000082">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[Supply chain] </w:t>
            </w:r>
            <w:r w:rsidDel="00000000" w:rsidR="00000000" w:rsidRPr="00000000">
              <w:rPr>
                <w:rtl w:val="0"/>
              </w:rPr>
            </w:r>
          </w:p>
          <w:p w:rsidR="00000000" w:rsidDel="00000000" w:rsidP="00000000" w:rsidRDefault="00000000" w:rsidRPr="00000000" w14:paraId="00000083">
            <w:pPr>
              <w:widowControl w:val="1"/>
              <w:numPr>
                <w:ilvl w:val="1"/>
                <w:numId w:val="1"/>
              </w:numPr>
              <w:tabs>
                <w:tab w:val="left" w:leader="none" w:pos="851"/>
              </w:tabs>
              <w:spacing w:after="120" w:lineRule="auto"/>
              <w:ind w:left="1440" w:hanging="36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yellow"/>
                <w:rtl w:val="0"/>
              </w:rPr>
              <w:t xml:space="preserve">[Technical requirements]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4">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- 90% </w:t>
            </w:r>
          </w:p>
          <w:p w:rsidR="00000000" w:rsidDel="00000000" w:rsidP="00000000" w:rsidRDefault="00000000" w:rsidRPr="00000000" w14:paraId="00000085">
            <w:pPr>
              <w:widowControl w:val="1"/>
              <w:tabs>
                <w:tab w:val="left" w:leader="none" w:pos="851"/>
              </w:tabs>
              <w:spacing w:after="120" w:before="24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The weighting for each sub criteria can range between (0% to 90%). The total sub criteria weighting should total your overall quality weighting and must be a minimum of 10% and a maximum of 90%. </w:t>
            </w:r>
          </w:p>
          <w:p w:rsidR="00000000" w:rsidDel="00000000" w:rsidP="00000000" w:rsidRDefault="00000000" w:rsidRPr="00000000" w14:paraId="00000086">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 example, 75% quality weighting could be broken down as follows:</w:t>
            </w:r>
          </w:p>
          <w:p w:rsidR="00000000" w:rsidDel="00000000" w:rsidP="00000000" w:rsidRDefault="00000000" w:rsidRPr="00000000" w14:paraId="00000087">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Mobilisation = 25%</w:t>
            </w:r>
          </w:p>
          <w:p w:rsidR="00000000" w:rsidDel="00000000" w:rsidP="00000000" w:rsidRDefault="00000000" w:rsidRPr="00000000" w14:paraId="00000088">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Project management = 25%</w:t>
            </w:r>
          </w:p>
          <w:p w:rsidR="00000000" w:rsidDel="00000000" w:rsidP="00000000" w:rsidRDefault="00000000" w:rsidRPr="00000000" w14:paraId="00000089">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Supply chain = 25%]</w:t>
            </w:r>
          </w:p>
        </w:tc>
      </w:tr>
      <w:tr>
        <w:trPr>
          <w:cantSplit w:val="0"/>
          <w:trHeight w:val="72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A">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B">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- 90%</w:t>
            </w:r>
          </w:p>
        </w:tc>
      </w:tr>
      <w:tr>
        <w:trPr>
          <w:cantSplit w:val="0"/>
          <w:trHeight w:val="1454"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C">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w:t>
            </w:r>
          </w:p>
          <w:p w:rsidR="00000000" w:rsidDel="00000000" w:rsidP="00000000" w:rsidRDefault="00000000" w:rsidRPr="00000000" w14:paraId="0000008D">
            <w:pPr>
              <w:widowControl w:val="1"/>
              <w:numPr>
                <w:ilvl w:val="0"/>
                <w:numId w:val="6"/>
              </w:numPr>
              <w:tabs>
                <w:tab w:val="left" w:leader="none" w:pos="851"/>
              </w:tabs>
              <w:spacing w:before="240" w:lineRule="auto"/>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1: COVID-19 recovery]</w:t>
            </w:r>
          </w:p>
          <w:p w:rsidR="00000000" w:rsidDel="00000000" w:rsidP="00000000" w:rsidRDefault="00000000" w:rsidRPr="00000000" w14:paraId="0000008E">
            <w:pPr>
              <w:widowControl w:val="1"/>
              <w:numPr>
                <w:ilvl w:val="0"/>
                <w:numId w:val="6"/>
              </w:numPr>
              <w:tabs>
                <w:tab w:val="left" w:leader="none" w:pos="851"/>
              </w:tabs>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2: Tackling economic inequality]</w:t>
            </w:r>
          </w:p>
          <w:p w:rsidR="00000000" w:rsidDel="00000000" w:rsidP="00000000" w:rsidRDefault="00000000" w:rsidRPr="00000000" w14:paraId="0000008F">
            <w:pPr>
              <w:widowControl w:val="1"/>
              <w:numPr>
                <w:ilvl w:val="0"/>
                <w:numId w:val="6"/>
              </w:numPr>
              <w:tabs>
                <w:tab w:val="left" w:leader="none" w:pos="851"/>
              </w:tabs>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3: Fighting climate change]</w:t>
            </w:r>
          </w:p>
          <w:p w:rsidR="00000000" w:rsidDel="00000000" w:rsidP="00000000" w:rsidRDefault="00000000" w:rsidRPr="00000000" w14:paraId="00000090">
            <w:pPr>
              <w:widowControl w:val="1"/>
              <w:numPr>
                <w:ilvl w:val="0"/>
                <w:numId w:val="6"/>
              </w:numPr>
              <w:tabs>
                <w:tab w:val="left" w:leader="none" w:pos="851"/>
              </w:tabs>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4: Equal opportunity]</w:t>
            </w:r>
          </w:p>
          <w:p w:rsidR="00000000" w:rsidDel="00000000" w:rsidP="00000000" w:rsidRDefault="00000000" w:rsidRPr="00000000" w14:paraId="00000091">
            <w:pPr>
              <w:widowControl w:val="1"/>
              <w:numPr>
                <w:ilvl w:val="0"/>
                <w:numId w:val="6"/>
              </w:numPr>
              <w:tabs>
                <w:tab w:val="left" w:leader="none" w:pos="851"/>
              </w:tabs>
              <w:spacing w:after="120" w:lineRule="auto"/>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5: Wellbeing]</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92">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0% - 80%</w:t>
            </w:r>
          </w:p>
          <w:p w:rsidR="00000000" w:rsidDel="00000000" w:rsidP="00000000" w:rsidRDefault="00000000" w:rsidRPr="00000000" w14:paraId="00000093">
            <w:pPr>
              <w:widowControl w:val="1"/>
              <w:tabs>
                <w:tab w:val="left" w:leader="none" w:pos="851"/>
              </w:tabs>
              <w:spacing w:after="120" w:befor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A Central Government Body should comply with procurement policy note 06/20 and include a minimum of 10% weighting for social value]</w:t>
            </w:r>
          </w:p>
        </w:tc>
      </w:tr>
    </w:tbl>
    <w:p w:rsidR="00000000" w:rsidDel="00000000" w:rsidP="00000000" w:rsidRDefault="00000000" w:rsidRPr="00000000" w14:paraId="00000094">
      <w:pPr>
        <w:widowControl w:val="1"/>
        <w:tabs>
          <w:tab w:val="left" w:leader="none" w:pos="851"/>
        </w:tabs>
        <w:spacing w:after="240" w:lineRule="auto"/>
        <w:jc w:val="both"/>
        <w:rPr>
          <w:rFonts w:ascii="Arial" w:cs="Arial" w:eastAsia="Arial" w:hAnsi="Arial"/>
          <w:color w:val="1f1f1f"/>
          <w:sz w:val="24"/>
          <w:szCs w:val="24"/>
          <w:highlight w:val="white"/>
        </w:rPr>
      </w:pPr>
      <w:r w:rsidDel="00000000" w:rsidR="00000000" w:rsidRPr="00000000">
        <w:rPr>
          <w:rtl w:val="0"/>
        </w:rPr>
      </w:r>
    </w:p>
    <w:p w:rsidR="00000000" w:rsidDel="00000000" w:rsidP="00000000" w:rsidRDefault="00000000" w:rsidRPr="00000000" w14:paraId="00000095">
      <w:pPr>
        <w:pageBreakBefore w:val="0"/>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6kf94b8bqdgv"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A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